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rPr>
          <w:lang w:val="en-US" w:eastAsia="en-US" w:bidi="en-US"/>
        </w:rPr>
        <w:t>Lab 0: Introduction to MATLAB and Equipment</w:t>
      </w:r>
    </w:p>
    <w:p>
      <w:pPr>
        <w:spacing w:after="20"/>
      </w:pPr>
      <w:r>
        <w:rPr>
          <w:b/>
          <w:lang w:val="en-US" w:eastAsia="en-US" w:bidi="en-US"/>
        </w:rPr>
        <w:t xml:space="preserve">Report by: </w:t>
      </w:r>
      <w:r>
        <w:rPr>
          <w:lang w:val="en-US" w:eastAsia="en-US" w:bidi="en-US"/>
        </w:rPr>
        <w:t>[Enter your name]</w:t>
      </w:r>
    </w:p>
    <w:p>
      <w:pPr>
        <w:spacing w:after="20"/>
      </w:pPr>
      <w:r>
        <w:rPr>
          <w:b/>
          <w:lang w:val="en-US" w:eastAsia="en-US" w:bidi="en-US"/>
        </w:rPr>
        <w:t xml:space="preserve">Lab partner: </w:t>
      </w:r>
      <w:r>
        <w:rPr>
          <w:lang w:val="en-US" w:eastAsia="en-US" w:bidi="en-US"/>
        </w:rPr>
        <w:t>[Enter partner name or “None”]</w:t>
      </w:r>
    </w:p>
    <w:p>
      <w:pPr>
        <w:spacing w:after="20"/>
      </w:pPr>
      <w:r>
        <w:rPr>
          <w:b/>
          <w:lang w:val="en-US" w:eastAsia="en-US" w:bidi="en-US"/>
        </w:rPr>
        <w:t xml:space="preserve">Lab TA: </w:t>
      </w:r>
      <w:r>
        <w:rPr>
          <w:lang w:val="en-US" w:eastAsia="en-US" w:bidi="en-US"/>
        </w:rPr>
        <w:t>[Enter TA name]</w:t>
      </w:r>
    </w:p>
    <w:p>
      <w:pPr>
        <w:spacing w:after="20"/>
      </w:pPr>
      <w:r>
        <w:rPr>
          <w:b/>
          <w:lang w:val="en-US" w:eastAsia="en-US" w:bidi="en-US"/>
        </w:rPr>
        <w:t xml:space="preserve">Section: </w:t>
      </w:r>
      <w:r>
        <w:rPr>
          <w:lang w:val="en-US" w:eastAsia="en-US" w:bidi="en-US"/>
        </w:rPr>
        <w:t>[Enter section]</w:t>
      </w:r>
    </w:p>
    <w:p>
      <w:pPr>
        <w:pStyle w:val="Heading2"/>
      </w:pPr>
      <w:r>
        <w:rPr>
          <w:lang w:val="en-US" w:eastAsia="en-US" w:bidi="en-US"/>
        </w:rPr>
        <w:t>Report guidelines</w:t>
      </w:r>
    </w:p>
    <w:p>
      <w:r>
        <w:rPr>
          <w:lang w:val="en-US" w:eastAsia="en-US" w:bidi="en-US"/>
        </w:rPr>
        <w:t>For this report, you will need the following three files:</w:t>
      </w:r>
    </w:p>
    <w:p>
      <w:pPr>
        <w:pStyle w:val="ListNumber"/>
        <w:spacing w:after="20"/>
      </w:pPr>
      <w:r>
        <w:rPr>
          <w:b/>
          <w:lang w:val="en-US" w:eastAsia="en-US" w:bidi="en-US"/>
        </w:rPr>
        <w:t>LabReport0.m</w:t>
      </w:r>
      <w:r>
        <w:rPr>
          <w:lang w:val="en-US" w:eastAsia="en-US" w:bidi="en-US"/>
        </w:rPr>
        <w:t xml:space="preserve"> (the main file that runs the other two files)</w:t>
      </w:r>
    </w:p>
    <w:p>
      <w:pPr>
        <w:pStyle w:val="ListNumber"/>
        <w:spacing w:after="20"/>
      </w:pPr>
      <w:r>
        <w:rPr>
          <w:b/>
          <w:lang w:val="en-US" w:eastAsia="en-US" w:bidi="en-US"/>
        </w:rPr>
        <w:t>StepResponseMetrics.m</w:t>
      </w:r>
      <w:r>
        <w:rPr>
          <w:lang w:val="en-US" w:eastAsia="en-US" w:bidi="en-US"/>
        </w:rPr>
        <w:t xml:space="preserve"> (the file you will edit to display overshoot, rise time, and settling time)</w:t>
      </w:r>
    </w:p>
    <w:p>
      <w:pPr>
        <w:pStyle w:val="ListNumber"/>
        <w:spacing w:after="20"/>
      </w:pPr>
      <w:r>
        <w:rPr>
          <w:b/>
          <w:lang w:val="en-US" w:eastAsia="en-US" w:bidi="en-US"/>
        </w:rPr>
        <w:t>controllerlab0.mdl</w:t>
      </w:r>
      <w:r>
        <w:rPr>
          <w:lang w:val="en-US" w:eastAsia="en-US" w:bidi="en-US"/>
        </w:rPr>
        <w:t xml:space="preserve"> (a Simulink model)</w:t>
      </w:r>
    </w:p>
    <w:p>
      <w:r>
        <w:rPr>
          <w:b/>
          <w:lang w:val="en-US" w:eastAsia="en-US" w:bidi="en-US"/>
        </w:rPr>
        <w:t xml:space="preserve">Save all three files in the same directory. </w:t>
      </w:r>
      <w:r>
        <w:rPr>
          <w:lang w:val="en-US" w:eastAsia="en-US" w:bidi="en-US"/>
        </w:rPr>
        <w:t xml:space="preserve">You only need to edit </w:t>
      </w:r>
      <w:r>
        <w:rPr>
          <w:b/>
          <w:lang w:val="en-US" w:eastAsia="en-US" w:bidi="en-US"/>
        </w:rPr>
        <w:t>StepResponseMetrics.m</w:t>
      </w:r>
      <w:r>
        <w:rPr>
          <w:lang w:val="en-US" w:eastAsia="en-US" w:bidi="en-US"/>
        </w:rPr>
        <w:t xml:space="preserve">. Run all three files by entering </w:t>
      </w:r>
      <w:r>
        <w:rPr>
          <w:b/>
          <w:lang w:val="en-US" w:eastAsia="en-US" w:bidi="en-US"/>
        </w:rPr>
        <w:t>LabReport0</w:t>
      </w:r>
      <w:r>
        <w:rPr>
          <w:lang w:val="en-US" w:eastAsia="en-US" w:bidi="en-US"/>
        </w:rPr>
        <w:t xml:space="preserve"> in the MATLAB Command Window; </w:t>
      </w:r>
      <w:r>
        <w:rPr>
          <w:b/>
          <w:lang w:val="en-US" w:eastAsia="en-US" w:bidi="en-US"/>
        </w:rPr>
        <w:t>LabReport0.m</w:t>
      </w:r>
      <w:r>
        <w:rPr>
          <w:lang w:val="en-US" w:eastAsia="en-US" w:bidi="en-US"/>
        </w:rPr>
        <w:t xml:space="preserve"> calls the other two files.</w:t>
      </w:r>
    </w:p>
    <w:p>
      <w:pPr>
        <w:pStyle w:val="Heading2"/>
      </w:pPr>
      <w:r>
        <w:rPr>
          <w:lang w:val="en-US" w:eastAsia="en-US" w:bidi="en-US"/>
        </w:rPr>
        <w:t>What to hand in</w:t>
      </w:r>
    </w:p>
    <w:p>
      <w:r>
        <w:rPr>
          <w:b/>
          <w:lang w:val="en-US" w:eastAsia="en-US" w:bidi="en-US"/>
        </w:rPr>
        <w:t xml:space="preserve">1. Completed report template. </w:t>
      </w:r>
      <w:r>
        <w:rPr>
          <w:lang w:val="en-US" w:eastAsia="en-US" w:bidi="en-US"/>
        </w:rPr>
        <w:t>Replace the bracketed student-information placeholders above.</w:t>
      </w:r>
    </w:p>
    <w:p>
      <w:r>
        <w:rPr>
          <w:b/>
          <w:lang w:val="en-US" w:eastAsia="en-US" w:bidi="en-US"/>
        </w:rPr>
        <w:t xml:space="preserve">2. MATLAB M-file. </w:t>
      </w:r>
      <w:r>
        <w:rPr>
          <w:lang w:val="en-US" w:eastAsia="en-US" w:bidi="en-US"/>
        </w:rPr>
        <w:t>Submit the M-file with the report.</w:t>
      </w:r>
    </w:p>
    <w:p>
      <w:r>
        <w:rPr>
          <w:b/>
          <w:lang w:val="en-US" w:eastAsia="en-US" w:bidi="en-US"/>
        </w:rPr>
        <w:t xml:space="preserve">3. Step-response printout. </w:t>
      </w:r>
      <w:r>
        <w:rPr>
          <w:lang w:val="en-US" w:eastAsia="en-US" w:bidi="en-US"/>
        </w:rPr>
        <w:t>The printout must show overshoot (Mₚ), rise time (tᵣ), and settling time (tₛₛ), with titles, axis labels, values, and reference lines similar to the example below.</w:t>
      </w:r>
    </w:p>
    <w:p>
      <w:pPr>
        <w:keepNext/>
        <w:jc w:val="center"/>
      </w:pPr>
      <w:r>
        <w:rPr>
          <w:lang w:val="en-US" w:eastAsia="en-US" w:bidi="en-US"/>
        </w:rPr>
        <w:drawing>
          <wp:inline xmlns:a="http://schemas.openxmlformats.org/drawingml/2006/main" xmlns:pic="http://schemas.openxmlformats.org/drawingml/2006/picture">
            <wp:extent cx="4572000" cy="3939988"/>
            <wp:docPr id="1" name="Picture 1" title="Example MATLAB step-response graph" descr="Example step-response plot with a blue response curve, overshoot marker, 10 and 90 percent rise-time lines, 95 and 105 percent settling-time bounds, and the steady-state value."/>
            <wp:cNvGraphicFramePr>
              <a:graphicFrameLocks noChangeAspect="1"/>
            </wp:cNvGraphicFramePr>
            <a:graphic>
              <a:graphicData uri="http://schemas.openxmlformats.org/drawingml/2006/picture">
                <pic:pic>
                  <pic:nvPicPr>
                    <pic:cNvPr id="0" name="lab0_graph.png"/>
                    <pic:cNvPicPr/>
                  </pic:nvPicPr>
                  <pic:blipFill>
                    <a:blip r:embed="rId11"/>
                    <a:stretch>
                      <a:fillRect/>
                    </a:stretch>
                  </pic:blipFill>
                  <pic:spPr>
                    <a:xfrm>
                      <a:off x="0" y="0"/>
                      <a:ext cx="4572000" cy="3939988"/>
                    </a:xfrm>
                    <a:prstGeom prst="rect"/>
                  </pic:spPr>
                </pic:pic>
              </a:graphicData>
            </a:graphic>
          </wp:inline>
        </w:drawing>
      </w:r>
    </w:p>
    <w:p>
      <w:pPr>
        <w:pStyle w:val="Caption"/>
        <w:jc w:val="center"/>
      </w:pPr>
      <w:r>
        <w:rPr>
          <w:lang w:val="en-US" w:eastAsia="en-US" w:bidi="en-US"/>
        </w:rPr>
        <w:t>Figure 1. Example MATLAB step-response graph.</w:t>
      </w:r>
    </w:p>
    <w:p>
      <w:pPr>
        <w:spacing w:after="40"/>
      </w:pPr>
      <w:r>
        <w:rPr>
          <w:b/>
          <w:lang w:val="en-US" w:eastAsia="en-US" w:bidi="en-US"/>
        </w:rPr>
        <w:t xml:space="preserve">Figure description: </w:t>
      </w:r>
      <w:r>
        <w:rPr>
          <w:lang w:val="en-US" w:eastAsia="en-US" w:bidi="en-US"/>
        </w:rPr>
        <w:t>The horizontal axis is time from 0 to 20 seconds, and the vertical axis is response to a step in reference from 0 to 2.5. The blue response rises above the steady-state value of 2.0, reaches an example overshoot of about 4.32 percent, and then settles. Dotted reference lines identify 10 percent and 90 percent rise-time levels; green lines identify the 95 percent, 100 percent, and 105 percent settling levels.</w:t>
      </w:r>
    </w:p>
    <w:p>
      <w:r>
        <w:rPr>
          <w:b/>
          <w:lang w:val="en-US" w:eastAsia="en-US" w:bidi="en-US"/>
        </w:rPr>
        <w:t xml:space="preserve">Required graph content: </w:t>
      </w:r>
      <w:r>
        <w:rPr>
          <w:lang w:val="en-US" w:eastAsia="en-US" w:bidi="en-US"/>
        </w:rPr>
        <w:t>Show Mₚ, tᵣ, and tₛₛ values and use comparable titles, axis labels, and reference lines.</w:t>
      </w:r>
    </w:p>
    <w:p>
      <w:pPr>
        <w:pStyle w:val="Heading2"/>
        <w:pageBreakBefore/>
      </w:pPr>
      <w:r>
        <w:rPr>
          <w:lang w:val="en-US" w:eastAsia="en-US" w:bidi="en-US"/>
        </w:rPr>
        <w:t>Grading rubric</w:t>
      </w:r>
    </w:p>
    <w:p>
      <w:pPr>
        <w:pStyle w:val="Caption"/>
      </w:pPr>
      <w:r>
        <w:rPr>
          <w:lang w:val="en-US" w:eastAsia="en-US" w:bidi="en-US"/>
        </w:rPr>
        <w:t>Table 1. Lab 0 rubric showing each major section, its maximum score, and the point breakdown for its subcriteria.</w:t>
      </w:r>
    </w:p>
    <w:tbl>
      <w:tblPr>
        <w:tblStyle w:val="TableGrid"/>
        <w:tblW w:type="auto" w:w="0"/>
        <w:jc w:val="center"/>
        <w:tblLayout w:type="fixed"/>
        <w:tblLook w:firstColumn="1" w:firstRow="1" w:lastColumn="0" w:lastRow="0" w:noHBand="0" w:noVBand="1" w:val="04A0"/>
        <w:tblCaption w:val="Lab 0 hierarchical grading rubric"/>
        <w:tblDescription w:val="Four-column hierarchical rubric. Section identifies the major grading category. Section maximum gives the total available points for that category. Subcriterion or requirement names and describes the graded component. Subcriterion points gives the points assigned to that component. The three Report rows are part of the same 20-point Report section. Graph, M-file, and Report total 50 points. Checkout is recorded separately."/>
      </w:tblPr>
      <w:tblGrid>
        <w:gridCol w:w="2498"/>
        <w:gridCol w:w="2498"/>
        <w:gridCol w:w="2498"/>
        <w:gridCol w:w="2498"/>
      </w:tblGrid>
      <w:tr>
        <w:trPr>
          <w:tblHeader w:val="true"/>
          <w:cantSplit/>
        </w:trPr>
        <w:tc>
          <w:tcPr>
            <w:tcW w:type="dxa" w:w="1655"/>
            <w:vAlign w:val="center"/>
            <w:shd w:fill="D9E2F3"/>
            <w:tcMar>
              <w:top w:w="70" w:type="dxa"/>
              <w:start w:w="90" w:type="dxa"/>
              <w:bottom w:w="70" w:type="dxa"/>
              <w:end w:w="90" w:type="dxa"/>
            </w:tcMar>
          </w:tcPr>
          <w:p>
            <w:pPr>
              <w:spacing w:after="0"/>
              <w:jc w:val="center"/>
            </w:pPr>
            <w:r>
              <w:rPr>
                <w:b/>
                <w:lang w:val="en-US" w:eastAsia="en-US" w:bidi="en-US"/>
              </w:rPr>
              <w:t>Section</w:t>
            </w:r>
          </w:p>
        </w:tc>
        <w:tc>
          <w:tcPr>
            <w:tcW w:type="dxa" w:w="1440"/>
            <w:vAlign w:val="center"/>
            <w:shd w:fill="D9E2F3"/>
            <w:tcMar>
              <w:top w:w="70" w:type="dxa"/>
              <w:start w:w="90" w:type="dxa"/>
              <w:bottom w:w="70" w:type="dxa"/>
              <w:end w:w="90" w:type="dxa"/>
            </w:tcMar>
          </w:tcPr>
          <w:p>
            <w:pPr>
              <w:spacing w:after="0"/>
              <w:jc w:val="center"/>
            </w:pPr>
            <w:r>
              <w:rPr>
                <w:b/>
                <w:lang w:val="en-US" w:eastAsia="en-US" w:bidi="en-US"/>
              </w:rPr>
              <w:t>Section maximum</w:t>
            </w:r>
          </w:p>
        </w:tc>
        <w:tc>
          <w:tcPr>
            <w:tcW w:type="dxa" w:w="6552"/>
            <w:vAlign w:val="center"/>
            <w:shd w:fill="D9E2F3"/>
            <w:tcMar>
              <w:top w:w="70" w:type="dxa"/>
              <w:start w:w="90" w:type="dxa"/>
              <w:bottom w:w="70" w:type="dxa"/>
              <w:end w:w="90" w:type="dxa"/>
            </w:tcMar>
          </w:tcPr>
          <w:p>
            <w:pPr>
              <w:spacing w:after="0"/>
              <w:jc w:val="center"/>
            </w:pPr>
            <w:r>
              <w:rPr>
                <w:b/>
                <w:lang w:val="en-US" w:eastAsia="en-US" w:bidi="en-US"/>
              </w:rPr>
              <w:t>Subcriterion or requirement</w:t>
            </w:r>
          </w:p>
        </w:tc>
        <w:tc>
          <w:tcPr>
            <w:tcW w:type="dxa" w:w="1296"/>
            <w:vAlign w:val="center"/>
            <w:shd w:fill="D9E2F3"/>
            <w:tcMar>
              <w:top w:w="70" w:type="dxa"/>
              <w:start w:w="90" w:type="dxa"/>
              <w:bottom w:w="70" w:type="dxa"/>
              <w:end w:w="90" w:type="dxa"/>
            </w:tcMar>
          </w:tcPr>
          <w:p>
            <w:pPr>
              <w:spacing w:after="0"/>
              <w:jc w:val="center"/>
            </w:pPr>
            <w:r>
              <w:rPr>
                <w:b/>
                <w:lang w:val="en-US" w:eastAsia="en-US" w:bidi="en-US"/>
              </w:rPr>
              <w:t>Subcriterion points</w:t>
            </w:r>
          </w:p>
        </w:tc>
      </w:tr>
      <w:tr>
        <w:tc>
          <w:tcPr>
            <w:tcW w:type="dxa" w:w="1655"/>
            <w:vAlign w:val="center"/>
          </w:tcPr>
          <w:p>
            <w:pPr>
              <w:spacing w:after="0" w:before="0"/>
            </w:pPr>
            <w:r>
              <w:rPr>
                <w:rFonts w:ascii="Arial" w:hAnsi="Arial"/>
                <w:sz w:val="18"/>
              </w:rPr>
              <w:t>Prelab</w:t>
            </w:r>
          </w:p>
        </w:tc>
        <w:tc>
          <w:tcPr>
            <w:tcW w:type="dxa" w:w="1440"/>
            <w:vAlign w:val="center"/>
          </w:tcPr>
          <w:p>
            <w:pPr>
              <w:spacing w:after="0" w:before="0"/>
              <w:jc w:val="center"/>
            </w:pPr>
            <w:r>
              <w:rPr>
                <w:rFonts w:ascii="Arial" w:hAnsi="Arial"/>
                <w:sz w:val="18"/>
              </w:rPr>
              <w:t>Not graded</w:t>
            </w:r>
          </w:p>
        </w:tc>
        <w:tc>
          <w:tcPr>
            <w:tcW w:type="dxa" w:w="6552"/>
            <w:vAlign w:val="center"/>
          </w:tcPr>
          <w:p>
            <w:pPr>
              <w:spacing w:after="0" w:before="0"/>
            </w:pPr>
            <w:r>
              <w:rPr>
                <w:rFonts w:ascii="Arial" w:hAnsi="Arial"/>
                <w:sz w:val="18"/>
              </w:rPr>
              <w:t>None: No prelab is required.</w:t>
            </w:r>
          </w:p>
        </w:tc>
        <w:tc>
          <w:tcPr>
            <w:tcW w:type="dxa" w:w="1296"/>
            <w:vAlign w:val="center"/>
          </w:tcPr>
          <w:p>
            <w:pPr>
              <w:spacing w:after="0" w:before="0"/>
              <w:jc w:val="center"/>
            </w:pPr>
            <w:r>
              <w:rPr>
                <w:rFonts w:ascii="Arial" w:hAnsi="Arial"/>
                <w:sz w:val="18"/>
              </w:rPr>
              <w:t>--</w:t>
            </w:r>
          </w:p>
        </w:tc>
      </w:tr>
      <w:tr>
        <w:tc>
          <w:tcPr>
            <w:tcW w:type="dxa" w:w="1655"/>
            <w:vAlign w:val="center"/>
          </w:tcPr>
          <w:p>
            <w:pPr>
              <w:spacing w:after="0" w:before="0"/>
            </w:pPr>
            <w:r>
              <w:rPr>
                <w:rFonts w:ascii="Arial" w:hAnsi="Arial"/>
                <w:b/>
                <w:sz w:val="18"/>
              </w:rPr>
              <w:t>Graph</w:t>
            </w:r>
          </w:p>
        </w:tc>
        <w:tc>
          <w:tcPr>
            <w:tcW w:type="dxa" w:w="1440"/>
            <w:vAlign w:val="center"/>
          </w:tcPr>
          <w:p>
            <w:pPr>
              <w:spacing w:after="0" w:before="0"/>
              <w:jc w:val="center"/>
            </w:pPr>
            <w:r>
              <w:rPr>
                <w:rFonts w:ascii="Arial" w:hAnsi="Arial"/>
                <w:sz w:val="18"/>
              </w:rPr>
              <w:t>15</w:t>
            </w:r>
          </w:p>
        </w:tc>
        <w:tc>
          <w:tcPr>
            <w:tcW w:type="dxa" w:w="6552"/>
            <w:vAlign w:val="center"/>
          </w:tcPr>
          <w:p>
            <w:pPr>
              <w:spacing w:after="0" w:before="0"/>
            </w:pPr>
            <w:r>
              <w:rPr>
                <w:rFonts w:ascii="Arial" w:hAnsi="Arial"/>
                <w:sz w:val="18"/>
              </w:rPr>
              <w:t>Required graph with the specified title, axis labels, values, and reference lines.</w:t>
            </w:r>
          </w:p>
        </w:tc>
        <w:tc>
          <w:tcPr>
            <w:tcW w:type="dxa" w:w="1296"/>
            <w:vAlign w:val="center"/>
          </w:tcPr>
          <w:p>
            <w:pPr>
              <w:spacing w:after="0" w:before="0"/>
              <w:jc w:val="center"/>
            </w:pPr>
            <w:r>
              <w:rPr>
                <w:rFonts w:ascii="Arial" w:hAnsi="Arial"/>
                <w:sz w:val="18"/>
              </w:rPr>
              <w:t>15</w:t>
            </w:r>
          </w:p>
        </w:tc>
      </w:tr>
      <w:tr>
        <w:tc>
          <w:tcPr>
            <w:tcW w:type="dxa" w:w="1655"/>
            <w:vAlign w:val="center"/>
          </w:tcPr>
          <w:p>
            <w:pPr>
              <w:spacing w:after="0" w:before="0"/>
            </w:pPr>
            <w:r>
              <w:rPr>
                <w:rFonts w:ascii="Arial" w:hAnsi="Arial"/>
                <w:b/>
                <w:sz w:val="18"/>
              </w:rPr>
              <w:t>M-file</w:t>
            </w:r>
          </w:p>
        </w:tc>
        <w:tc>
          <w:tcPr>
            <w:tcW w:type="dxa" w:w="1440"/>
            <w:vAlign w:val="center"/>
          </w:tcPr>
          <w:p>
            <w:pPr>
              <w:spacing w:after="0" w:before="0"/>
              <w:jc w:val="center"/>
            </w:pPr>
            <w:r>
              <w:rPr>
                <w:rFonts w:ascii="Arial" w:hAnsi="Arial"/>
                <w:sz w:val="18"/>
              </w:rPr>
              <w:t>15</w:t>
            </w:r>
          </w:p>
        </w:tc>
        <w:tc>
          <w:tcPr>
            <w:tcW w:type="dxa" w:w="6552"/>
            <w:vAlign w:val="center"/>
          </w:tcPr>
          <w:p>
            <w:pPr>
              <w:spacing w:after="0" w:before="0"/>
            </w:pPr>
            <w:r>
              <w:rPr>
                <w:rFonts w:ascii="Arial" w:hAnsi="Arial"/>
                <w:sz w:val="18"/>
              </w:rPr>
              <w:t>Required MATLAB M-file.</w:t>
            </w:r>
          </w:p>
        </w:tc>
        <w:tc>
          <w:tcPr>
            <w:tcW w:type="dxa" w:w="1296"/>
            <w:vAlign w:val="center"/>
          </w:tcPr>
          <w:p>
            <w:pPr>
              <w:spacing w:after="0" w:before="0"/>
              <w:jc w:val="center"/>
            </w:pPr>
            <w:r>
              <w:rPr>
                <w:rFonts w:ascii="Arial" w:hAnsi="Arial"/>
                <w:sz w:val="18"/>
              </w:rPr>
              <w:t>15</w:t>
            </w:r>
          </w:p>
        </w:tc>
      </w:tr>
      <w:tr>
        <w:tc>
          <w:tcPr>
            <w:tcW w:type="dxa" w:w="1655"/>
            <w:vAlign w:val="center"/>
          </w:tcPr>
          <w:p>
            <w:pPr>
              <w:spacing w:after="0" w:before="0"/>
            </w:pPr>
            <w:r>
              <w:rPr>
                <w:rFonts w:ascii="Arial" w:hAnsi="Arial"/>
                <w:b/>
                <w:sz w:val="18"/>
              </w:rPr>
              <w:t>Report</w:t>
            </w:r>
          </w:p>
        </w:tc>
        <w:tc>
          <w:tcPr>
            <w:tcW w:type="dxa" w:w="1440"/>
            <w:vAlign w:val="center"/>
          </w:tcPr>
          <w:p>
            <w:pPr>
              <w:spacing w:after="0" w:before="0"/>
              <w:jc w:val="center"/>
            </w:pPr>
            <w:r>
              <w:rPr>
                <w:rFonts w:ascii="Arial" w:hAnsi="Arial"/>
                <w:sz w:val="18"/>
              </w:rPr>
              <w:t>20</w:t>
            </w:r>
          </w:p>
        </w:tc>
        <w:tc>
          <w:tcPr>
            <w:tcW w:type="dxa" w:w="6552"/>
            <w:vAlign w:val="center"/>
          </w:tcPr>
          <w:p>
            <w:pPr>
              <w:spacing w:after="0" w:before="0"/>
            </w:pPr>
            <w:r>
              <w:rPr>
                <w:rFonts w:ascii="Arial" w:hAnsi="Arial"/>
                <w:sz w:val="18"/>
              </w:rPr>
              <w:t>Correct value of Mₚ (percent overshoot).</w:t>
            </w:r>
          </w:p>
        </w:tc>
        <w:tc>
          <w:tcPr>
            <w:tcW w:type="dxa" w:w="1296"/>
            <w:vAlign w:val="center"/>
          </w:tcPr>
          <w:p>
            <w:pPr>
              <w:spacing w:after="0" w:before="0"/>
              <w:jc w:val="center"/>
            </w:pPr>
            <w:r>
              <w:rPr>
                <w:rFonts w:ascii="Arial" w:hAnsi="Arial"/>
                <w:sz w:val="18"/>
              </w:rPr>
              <w:t>3</w:t>
            </w:r>
          </w:p>
        </w:tc>
      </w:tr>
      <w:tr>
        <w:tc>
          <w:tcPr>
            <w:tcW w:type="dxa" w:w="1655"/>
            <w:vAlign w:val="center"/>
          </w:tcPr>
          <w:p>
            <w:pPr>
              <w:spacing w:after="0" w:before="0"/>
            </w:pPr>
            <w:r>
              <w:rPr>
                <w:rFonts w:ascii="Arial" w:hAnsi="Arial"/>
                <w:b/>
                <w:sz w:val="18"/>
              </w:rPr>
              <w:t>Report</w:t>
            </w:r>
          </w:p>
        </w:tc>
        <w:tc>
          <w:tcPr>
            <w:tcW w:type="dxa" w:w="1440"/>
            <w:vAlign w:val="center"/>
          </w:tcPr>
          <w:p>
            <w:pPr>
              <w:spacing w:after="0" w:before="0"/>
              <w:jc w:val="center"/>
            </w:pPr>
            <w:r>
              <w:rPr>
                <w:rFonts w:ascii="Arial" w:hAnsi="Arial"/>
                <w:sz w:val="18"/>
              </w:rPr>
              <w:t>20</w:t>
            </w:r>
          </w:p>
        </w:tc>
        <w:tc>
          <w:tcPr>
            <w:tcW w:type="dxa" w:w="6552"/>
            <w:vAlign w:val="center"/>
          </w:tcPr>
          <w:p>
            <w:pPr>
              <w:spacing w:after="0" w:before="0"/>
            </w:pPr>
            <w:r>
              <w:rPr>
                <w:rFonts w:ascii="Arial" w:hAnsi="Arial"/>
                <w:sz w:val="18"/>
              </w:rPr>
              <w:t>Correct value of tᵣ (10–90% rise time).</w:t>
            </w:r>
          </w:p>
        </w:tc>
        <w:tc>
          <w:tcPr>
            <w:tcW w:type="dxa" w:w="1296"/>
            <w:vAlign w:val="center"/>
          </w:tcPr>
          <w:p>
            <w:pPr>
              <w:spacing w:after="0" w:before="0"/>
              <w:jc w:val="center"/>
            </w:pPr>
            <w:r>
              <w:rPr>
                <w:rFonts w:ascii="Arial" w:hAnsi="Arial"/>
                <w:sz w:val="18"/>
              </w:rPr>
              <w:t>3</w:t>
            </w:r>
          </w:p>
        </w:tc>
      </w:tr>
      <w:tr>
        <w:tc>
          <w:tcPr>
            <w:tcW w:type="dxa" w:w="1655"/>
            <w:vAlign w:val="center"/>
          </w:tcPr>
          <w:p>
            <w:pPr>
              <w:spacing w:after="0" w:before="0"/>
            </w:pPr>
            <w:r>
              <w:rPr>
                <w:rFonts w:ascii="Arial" w:hAnsi="Arial"/>
                <w:b/>
                <w:sz w:val="18"/>
              </w:rPr>
              <w:t>Report</w:t>
            </w:r>
          </w:p>
        </w:tc>
        <w:tc>
          <w:tcPr>
            <w:tcW w:type="dxa" w:w="1440"/>
            <w:vAlign w:val="center"/>
          </w:tcPr>
          <w:p>
            <w:pPr>
              <w:spacing w:after="0" w:before="0"/>
              <w:jc w:val="center"/>
            </w:pPr>
            <w:r>
              <w:rPr>
                <w:rFonts w:ascii="Arial" w:hAnsi="Arial"/>
                <w:sz w:val="18"/>
              </w:rPr>
              <w:t>20</w:t>
            </w:r>
          </w:p>
        </w:tc>
        <w:tc>
          <w:tcPr>
            <w:tcW w:type="dxa" w:w="6552"/>
            <w:vAlign w:val="center"/>
          </w:tcPr>
          <w:p>
            <w:pPr>
              <w:spacing w:after="0" w:before="0"/>
            </w:pPr>
            <w:r>
              <w:rPr>
                <w:rFonts w:ascii="Arial" w:hAnsi="Arial"/>
                <w:sz w:val="18"/>
              </w:rPr>
              <w:t>Correct value of tₛₛ (settling time).</w:t>
            </w:r>
          </w:p>
        </w:tc>
        <w:tc>
          <w:tcPr>
            <w:tcW w:type="dxa" w:w="1296"/>
            <w:vAlign w:val="center"/>
          </w:tcPr>
          <w:p>
            <w:pPr>
              <w:spacing w:after="0" w:before="0"/>
              <w:jc w:val="center"/>
            </w:pPr>
            <w:r>
              <w:rPr>
                <w:rFonts w:ascii="Arial" w:hAnsi="Arial"/>
                <w:sz w:val="18"/>
              </w:rPr>
              <w:t>3</w:t>
            </w:r>
          </w:p>
        </w:tc>
      </w:tr>
      <w:tr>
        <w:tc>
          <w:tcPr>
            <w:tcW w:type="dxa" w:w="1655"/>
            <w:vAlign w:val="center"/>
          </w:tcPr>
          <w:p>
            <w:pPr>
              <w:spacing w:after="0" w:before="0"/>
            </w:pPr>
            <w:r>
              <w:rPr>
                <w:rFonts w:ascii="Arial" w:hAnsi="Arial"/>
                <w:b/>
                <w:sz w:val="18"/>
              </w:rPr>
              <w:t>Report</w:t>
            </w:r>
          </w:p>
        </w:tc>
        <w:tc>
          <w:tcPr>
            <w:tcW w:type="dxa" w:w="1440"/>
            <w:vAlign w:val="center"/>
          </w:tcPr>
          <w:p>
            <w:pPr>
              <w:spacing w:after="0" w:before="0"/>
              <w:jc w:val="center"/>
            </w:pPr>
            <w:r>
              <w:rPr>
                <w:rFonts w:ascii="Arial" w:hAnsi="Arial"/>
                <w:sz w:val="18"/>
              </w:rPr>
              <w:t>20</w:t>
            </w:r>
          </w:p>
        </w:tc>
        <w:tc>
          <w:tcPr>
            <w:tcW w:type="dxa" w:w="6552"/>
            <w:vAlign w:val="center"/>
          </w:tcPr>
          <w:p>
            <w:pPr>
              <w:spacing w:after="0" w:before="0"/>
            </w:pPr>
            <w:r>
              <w:rPr>
                <w:rFonts w:ascii="Arial" w:hAnsi="Arial"/>
                <w:sz w:val="18"/>
              </w:rPr>
              <w:t>Ten correct graph and reference lines (1 point each × 10).</w:t>
            </w:r>
          </w:p>
        </w:tc>
        <w:tc>
          <w:tcPr>
            <w:tcW w:type="dxa" w:w="1296"/>
            <w:vAlign w:val="center"/>
          </w:tcPr>
          <w:p>
            <w:pPr>
              <w:spacing w:after="0" w:before="0"/>
              <w:jc w:val="center"/>
            </w:pPr>
            <w:r>
              <w:rPr>
                <w:rFonts w:ascii="Arial" w:hAnsi="Arial"/>
                <w:sz w:val="18"/>
              </w:rPr>
              <w:t>10</w:t>
            </w:r>
          </w:p>
        </w:tc>
      </w:tr>
      <w:tr>
        <w:tc>
          <w:tcPr>
            <w:tcW w:type="dxa" w:w="1655"/>
            <w:vAlign w:val="center"/>
          </w:tcPr>
          <w:p>
            <w:pPr>
              <w:spacing w:after="0" w:before="0"/>
            </w:pPr>
            <w:r>
              <w:rPr>
                <w:rFonts w:ascii="Arial" w:hAnsi="Arial"/>
                <w:b/>
                <w:sz w:val="18"/>
              </w:rPr>
              <w:t>Report</w:t>
            </w:r>
          </w:p>
        </w:tc>
        <w:tc>
          <w:tcPr>
            <w:tcW w:type="dxa" w:w="1440"/>
            <w:vAlign w:val="center"/>
          </w:tcPr>
          <w:p>
            <w:pPr>
              <w:spacing w:after="0" w:before="0"/>
              <w:jc w:val="center"/>
            </w:pPr>
            <w:r>
              <w:rPr>
                <w:rFonts w:ascii="Arial" w:hAnsi="Arial"/>
                <w:sz w:val="18"/>
              </w:rPr>
              <w:t>20</w:t>
            </w:r>
          </w:p>
        </w:tc>
        <w:tc>
          <w:tcPr>
            <w:tcW w:type="dxa" w:w="6552"/>
            <w:vAlign w:val="center"/>
          </w:tcPr>
          <w:p>
            <w:pPr>
              <w:spacing w:after="0" w:before="0"/>
            </w:pPr>
            <w:r>
              <w:rPr>
                <w:rFonts w:ascii="Arial" w:hAnsi="Arial"/>
                <w:sz w:val="18"/>
              </w:rPr>
              <w:t>Student name and section information.</w:t>
            </w:r>
          </w:p>
        </w:tc>
        <w:tc>
          <w:tcPr>
            <w:tcW w:type="dxa" w:w="1296"/>
            <w:vAlign w:val="center"/>
          </w:tcPr>
          <w:p>
            <w:pPr>
              <w:spacing w:after="0" w:before="0"/>
              <w:jc w:val="center"/>
            </w:pPr>
            <w:r>
              <w:rPr>
                <w:rFonts w:ascii="Arial" w:hAnsi="Arial"/>
                <w:sz w:val="18"/>
              </w:rPr>
              <w:t>1</w:t>
            </w:r>
          </w:p>
        </w:tc>
      </w:tr>
      <w:tr>
        <w:tc>
          <w:tcPr>
            <w:tcW w:type="dxa" w:w="1655"/>
            <w:vAlign w:val="center"/>
          </w:tcPr>
          <w:p>
            <w:pPr>
              <w:spacing w:after="0" w:before="0"/>
            </w:pPr>
            <w:r>
              <w:rPr>
                <w:rFonts w:ascii="Arial" w:hAnsi="Arial"/>
                <w:b/>
                <w:sz w:val="18"/>
              </w:rPr>
              <w:t>Report subtotal</w:t>
            </w:r>
          </w:p>
        </w:tc>
        <w:tc>
          <w:tcPr>
            <w:tcW w:type="dxa" w:w="1440"/>
            <w:vAlign w:val="center"/>
          </w:tcPr>
          <w:p>
            <w:pPr>
              <w:spacing w:after="0" w:before="0"/>
              <w:jc w:val="center"/>
            </w:pPr>
            <w:r>
              <w:rPr>
                <w:rFonts w:ascii="Arial" w:hAnsi="Arial"/>
                <w:b/>
                <w:sz w:val="18"/>
              </w:rPr>
              <w:t>20</w:t>
            </w:r>
          </w:p>
        </w:tc>
        <w:tc>
          <w:tcPr>
            <w:tcW w:type="dxa" w:w="6552"/>
            <w:vAlign w:val="center"/>
          </w:tcPr>
          <w:p>
            <w:pPr>
              <w:spacing w:after="0" w:before="0"/>
            </w:pPr>
            <w:r>
              <w:rPr>
                <w:rFonts w:ascii="Arial" w:hAnsi="Arial"/>
                <w:b/>
                <w:sz w:val="18"/>
              </w:rPr>
              <w:t>Correct values (3 + 3 + 3) + graph lines (10) + identification (1).</w:t>
            </w:r>
          </w:p>
        </w:tc>
        <w:tc>
          <w:tcPr>
            <w:tcW w:type="dxa" w:w="1296"/>
            <w:vAlign w:val="center"/>
          </w:tcPr>
          <w:p>
            <w:pPr>
              <w:spacing w:after="0" w:before="0"/>
              <w:jc w:val="center"/>
            </w:pPr>
            <w:r>
              <w:rPr>
                <w:rFonts w:ascii="Arial" w:hAnsi="Arial"/>
                <w:b/>
                <w:sz w:val="18"/>
              </w:rPr>
              <w:t>20</w:t>
            </w:r>
          </w:p>
        </w:tc>
      </w:tr>
      <w:tr>
        <w:tc>
          <w:tcPr>
            <w:tcW w:type="dxa" w:w="1655"/>
            <w:vAlign w:val="center"/>
          </w:tcPr>
          <w:p>
            <w:pPr>
              <w:spacing w:after="0" w:before="0"/>
            </w:pPr>
            <w:r>
              <w:rPr>
                <w:rFonts w:ascii="Arial" w:hAnsi="Arial"/>
                <w:b/>
                <w:sz w:val="18"/>
              </w:rPr>
              <w:t>Submission total</w:t>
            </w:r>
          </w:p>
        </w:tc>
        <w:tc>
          <w:tcPr>
            <w:tcW w:type="dxa" w:w="1440"/>
            <w:vAlign w:val="center"/>
          </w:tcPr>
          <w:p>
            <w:pPr>
              <w:spacing w:after="0" w:before="0"/>
              <w:jc w:val="center"/>
            </w:pPr>
            <w:r>
              <w:rPr>
                <w:rFonts w:ascii="Arial" w:hAnsi="Arial"/>
                <w:b/>
                <w:sz w:val="18"/>
              </w:rPr>
              <w:t>50</w:t>
            </w:r>
          </w:p>
        </w:tc>
        <w:tc>
          <w:tcPr>
            <w:tcW w:type="dxa" w:w="6552"/>
            <w:vAlign w:val="center"/>
          </w:tcPr>
          <w:p>
            <w:pPr>
              <w:spacing w:after="0" w:before="0"/>
            </w:pPr>
            <w:r>
              <w:rPr>
                <w:rFonts w:ascii="Arial" w:hAnsi="Arial"/>
                <w:b/>
                <w:sz w:val="18"/>
              </w:rPr>
              <w:t>Graph (15) + M-file (15) + Report (20).</w:t>
            </w:r>
          </w:p>
        </w:tc>
        <w:tc>
          <w:tcPr>
            <w:tcW w:type="dxa" w:w="1296"/>
            <w:vAlign w:val="center"/>
          </w:tcPr>
          <w:p>
            <w:pPr>
              <w:spacing w:after="0" w:before="0"/>
              <w:jc w:val="center"/>
            </w:pPr>
            <w:r>
              <w:rPr>
                <w:rFonts w:ascii="Arial" w:hAnsi="Arial"/>
                <w:b/>
                <w:sz w:val="18"/>
              </w:rPr>
              <w:t>50</w:t>
            </w:r>
          </w:p>
        </w:tc>
      </w:tr>
    </w:tbl>
    <w:sectPr w:rsidR="00FC693F" w:rsidRPr="0006063C" w:rsidSect="00034616">
      <w:headerReference w:type="default" r:id="rId9"/>
      <w:footerReference w:type="default" r:id="rId10"/>
      <w:pgSz w:w="12240" w:h="15840"/>
      <w:pgMar w:top="893" w:right="1123" w:bottom="893" w:left="1123"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lang w:val="en-US" w:eastAsia="en-US" w:bidi="en-US"/>
      </w:rPr>
      <w:t xml:space="preserve">Page </w:t>
    </w:r>
    <w:r>
      <w:rPr>
        <w:rFonts w:ascii="Arial" w:hAnsi="Arial"/>
        <w:sz w:val="18"/>
        <w:lang w:val="en-US" w:eastAsia="en-US" w:bidi="en-US"/>
      </w:rPr>
      <w:fldChar w:fldCharType="begin"/>
      <w:instrText xml:space="preserve">PAGE</w:instrText>
      <w:fldChar w:fldCharType="separate"/>
      <w:t>1</w:t>
      <w:fldChar w:fldCharType="end"/>
    </w:r>
    <w:r>
      <w:rPr>
        <w:rFonts w:ascii="Arial" w:hAnsi="Arial"/>
        <w:sz w:val="18"/>
        <w:lang w:val="en-US" w:eastAsia="en-US" w:bidi="en-US"/>
      </w:rPr>
      <w:t xml:space="preserve"> of </w:t>
    </w:r>
    <w:r>
      <w:rPr>
        <w:rFonts w:ascii="Arial" w:hAnsi="Arial"/>
        <w:sz w:val="18"/>
        <w:lang w:val="en-US" w:eastAsia="en-US" w:bidi="en-US"/>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sz w:val="18"/>
        <w:lang w:val="en-US" w:eastAsia="en-US" w:bidi="en-US"/>
      </w:rPr>
      <w:t>ECE 486 - Lab 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outlineLvl w:val="0"/>
    </w:pPr>
    <w:rPr>
      <w:rFonts w:asciiTheme="majorHAnsi" w:eastAsiaTheme="majorEastAsia" w:hAnsiTheme="majorHAnsi" w:cstheme="majorBidi" w:ascii="Arial" w:hAnsi="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ascii="Arial" w:hAnsi="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line="240" w:lineRule="auto" w:before="40" w:after="60"/>
    </w:pPr>
    <w:rPr>
      <w:rFonts w:ascii="Arial" w:hAnsi="Arial"/>
      <w:b/>
      <w:bCs/>
      <w:i w:val="0"/>
      <w:color w:val="000000"/>
      <w:sz w:val="19"/>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0: Introduction to MATLAB and Equipment - Accessible Report Template</dc:title>
  <dc:subject>Accessible Lab 0 report instructions and 50-point grading rubric</dc:subject>
  <dc:creator>ECE 486 Course Staff</dc:creator>
  <cp:keywords>ECE 486, Lab 0, MATLAB, Simulink, report, rubric, accessibility</cp:keywords>
  <dc:description>Checkout grading and post-rubric notes removed; grading is completed online.</dc:description>
  <cp:lastModifiedBy>ECE 486 Course Staff</cp:lastModifiedBy>
  <cp:revision>1</cp:revision>
  <dcterms:created xsi:type="dcterms:W3CDTF">2013-12-23T23:15:00Z</dcterms:created>
  <dcterms:modified xsi:type="dcterms:W3CDTF">2013-12-23T23:15:00Z</dcterms:modified>
  <cp:category/>
  <dc:language>en-US</dc:language>
</cp:coreProperties>
</file>