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AA8E" w14:textId="77777777" w:rsidR="00540AAF" w:rsidRDefault="00540AAF">
      <w:pPr>
        <w:pStyle w:val="Heading1"/>
        <w:ind w:left="2160"/>
      </w:pPr>
      <w:r>
        <w:tab/>
      </w:r>
      <w:r>
        <w:tab/>
      </w:r>
      <w:r>
        <w:tab/>
      </w:r>
      <w:r>
        <w:tab/>
      </w:r>
      <w:r>
        <w:tab/>
        <w:t>Prelab 5 ___/40</w:t>
      </w:r>
    </w:p>
    <w:p w14:paraId="3463F2B6" w14:textId="77777777" w:rsidR="00540AAF" w:rsidRDefault="00540AAF">
      <w:pPr>
        <w:pStyle w:val="Heading2"/>
        <w:spacing w:line="480" w:lineRule="auto"/>
      </w:pPr>
      <w:r>
        <w:t>(A).  Finding K and τ for the motor transfer function</w:t>
      </w:r>
      <w:r>
        <w:tab/>
        <w:t>__/8</w:t>
      </w:r>
    </w:p>
    <w:p w14:paraId="796303F5" w14:textId="77777777" w:rsidR="00540AAF" w:rsidRDefault="00540AAF">
      <w:r>
        <w:t xml:space="preserve">Use the results from the lab 4 to determine the time constant and gain K in the motor transfer function </w:t>
      </w:r>
    </w:p>
    <w:p w14:paraId="669BD805" w14:textId="77777777" w:rsidR="00540AAF" w:rsidRDefault="00540AAF">
      <w:r>
        <w:rPr>
          <w:position w:val="-30"/>
        </w:rPr>
        <w:object w:dxaOrig="1420" w:dyaOrig="680" w14:anchorId="4FD7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33.6pt" o:ole="">
            <v:imagedata r:id="rId7" o:title=""/>
          </v:shape>
          <o:OLEObject Type="Embed" ProgID="Equation.3" ShapeID="_x0000_i1025" DrawAspect="Content" ObjectID="_1834387128" r:id="rId8"/>
        </w:object>
      </w:r>
    </w:p>
    <w:p w14:paraId="03BB2823" w14:textId="77777777" w:rsidR="00540AAF" w:rsidRDefault="00AD03D5">
      <w:pPr>
        <w:rPr>
          <w:i/>
          <w:iCs/>
          <w:vertAlign w:val="subscript"/>
        </w:rPr>
      </w:pPr>
      <w:r>
        <w:rPr>
          <w:i/>
          <w:iCs/>
        </w:rPr>
        <w:t>H</w:t>
      </w:r>
      <w:r w:rsidR="00540AAF">
        <w:rPr>
          <w:i/>
          <w:iCs/>
        </w:rPr>
        <w:t xml:space="preserve">int: </w:t>
      </w:r>
      <w:r>
        <w:rPr>
          <w:i/>
          <w:iCs/>
        </w:rPr>
        <w:t>H</w:t>
      </w:r>
      <w:r w:rsidR="00540AAF">
        <w:rPr>
          <w:i/>
          <w:iCs/>
        </w:rPr>
        <w:t xml:space="preserve">ere </w:t>
      </w:r>
      <w:r w:rsidR="00540AAF">
        <w:rPr>
          <w:position w:val="-12"/>
        </w:rPr>
        <w:object w:dxaOrig="600" w:dyaOrig="360" w14:anchorId="1BB13FFE">
          <v:shape id="_x0000_i1026" type="#_x0000_t75" style="width:30pt;height:18pt" o:ole="">
            <v:imagedata r:id="rId9" o:title=""/>
          </v:shape>
          <o:OLEObject Type="Embed" ProgID="Equation.3" ShapeID="_x0000_i1026" DrawAspect="Content" ObjectID="_1834387129" r:id="rId10"/>
        </w:object>
      </w:r>
      <w:r w:rsidR="00540AAF">
        <w:t xml:space="preserve"> </w:t>
      </w:r>
      <w:r w:rsidR="00540AAF">
        <w:rPr>
          <w:i/>
          <w:iCs/>
        </w:rPr>
        <w:t>is the outpu</w:t>
      </w:r>
      <w:r>
        <w:rPr>
          <w:i/>
          <w:iCs/>
        </w:rPr>
        <w:t xml:space="preserve">t of the Amplifier.  (i.e. </w:t>
      </w:r>
      <w:r w:rsidRPr="00AD03D5">
        <w:rPr>
          <w:i/>
          <w:iCs/>
        </w:rPr>
        <w:t>e</w:t>
      </w:r>
      <w:r>
        <w:rPr>
          <w:i/>
          <w:iCs/>
          <w:vertAlign w:val="subscript"/>
        </w:rPr>
        <w:t>2</w:t>
      </w:r>
      <w:r w:rsidR="00540AAF">
        <w:rPr>
          <w:i/>
          <w:iCs/>
          <w:vertAlign w:val="subscript"/>
        </w:rPr>
        <w:softHyphen/>
      </w:r>
      <w:r w:rsidR="00540AAF">
        <w:rPr>
          <w:i/>
          <w:iCs/>
        </w:rPr>
        <w:t>*K</w:t>
      </w:r>
      <w:r w:rsidR="00540AAF">
        <w:rPr>
          <w:i/>
          <w:iCs/>
          <w:vertAlign w:val="subscript"/>
        </w:rPr>
        <w:t>AMP</w:t>
      </w:r>
      <w:r w:rsidR="00540AAF">
        <w:rPr>
          <w:i/>
          <w:iCs/>
        </w:rPr>
        <w:t xml:space="preserve">).  </w:t>
      </w:r>
      <w:r>
        <w:rPr>
          <w:i/>
          <w:iCs/>
        </w:rPr>
        <w:t>Use</w:t>
      </w:r>
      <w:r w:rsidR="00540AAF">
        <w:rPr>
          <w:i/>
          <w:iCs/>
        </w:rPr>
        <w:t xml:space="preserve"> the 1</w:t>
      </w:r>
      <w:r w:rsidR="00540AAF">
        <w:rPr>
          <w:i/>
          <w:iCs/>
          <w:vertAlign w:val="superscript"/>
        </w:rPr>
        <w:t>st</w:t>
      </w:r>
      <w:r>
        <w:rPr>
          <w:i/>
          <w:iCs/>
        </w:rPr>
        <w:t xml:space="preserve"> order transfer function</w:t>
      </w:r>
      <w:r w:rsidR="00540AAF">
        <w:rPr>
          <w:i/>
          <w:iCs/>
        </w:rPr>
        <w:t xml:space="preserve"> that i</w:t>
      </w:r>
      <w:r>
        <w:rPr>
          <w:i/>
          <w:iCs/>
        </w:rPr>
        <w:t>gnores the effect of inductance from Prelab 4.</w:t>
      </w:r>
    </w:p>
    <w:p w14:paraId="3DFF84E8" w14:textId="77777777" w:rsidR="00540AAF" w:rsidRDefault="00540AAF"/>
    <w:p w14:paraId="0E9A88FB" w14:textId="77777777" w:rsidR="00540AAF" w:rsidRDefault="00540AAF">
      <w:pPr>
        <w:pStyle w:val="Heading2"/>
      </w:pPr>
      <w:r>
        <w:t>(B).  Compute the closed-loop pole locations for the three sets of gains of P</w:t>
      </w:r>
      <w:r>
        <w:rPr>
          <w:vertAlign w:val="subscript"/>
        </w:rPr>
        <w:t>1</w:t>
      </w:r>
      <w:r>
        <w:t xml:space="preserve"> and P</w:t>
      </w:r>
      <w:r>
        <w:rPr>
          <w:vertAlign w:val="subscript"/>
        </w:rPr>
        <w:t>2</w:t>
      </w:r>
      <w:r>
        <w:tab/>
      </w:r>
      <w:r>
        <w:tab/>
      </w:r>
      <w:r>
        <w:tab/>
      </w:r>
      <w:r>
        <w:tab/>
      </w:r>
      <w:r>
        <w:tab/>
      </w:r>
      <w:r>
        <w:tab/>
      </w:r>
      <w:r>
        <w:tab/>
        <w:t>__/6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540AAF" w14:paraId="151FDCDD" w14:textId="77777777">
        <w:tc>
          <w:tcPr>
            <w:tcW w:w="2214" w:type="dxa"/>
            <w:tcBorders>
              <w:top w:val="single" w:sz="4" w:space="0" w:color="auto"/>
              <w:bottom w:val="nil"/>
            </w:tcBorders>
          </w:tcPr>
          <w:p w14:paraId="5985D0B6" w14:textId="77777777" w:rsidR="00540AAF" w:rsidRDefault="00540AAF">
            <w:pPr>
              <w:rPr>
                <w:vertAlign w:val="subscript"/>
              </w:rPr>
            </w:pPr>
            <w:r>
              <w:t>P</w:t>
            </w:r>
            <w:r>
              <w:rPr>
                <w:vertAlign w:val="subscript"/>
              </w:rPr>
              <w:t>1</w:t>
            </w:r>
          </w:p>
        </w:tc>
        <w:tc>
          <w:tcPr>
            <w:tcW w:w="2214" w:type="dxa"/>
            <w:tcBorders>
              <w:top w:val="single" w:sz="4" w:space="0" w:color="auto"/>
              <w:bottom w:val="nil"/>
            </w:tcBorders>
          </w:tcPr>
          <w:p w14:paraId="7DA4B38D" w14:textId="77777777" w:rsidR="00540AAF" w:rsidRDefault="00540AAF">
            <w:r>
              <w:t>0.15</w:t>
            </w:r>
          </w:p>
        </w:tc>
        <w:tc>
          <w:tcPr>
            <w:tcW w:w="2214" w:type="dxa"/>
            <w:tcBorders>
              <w:top w:val="single" w:sz="4" w:space="0" w:color="auto"/>
              <w:bottom w:val="nil"/>
            </w:tcBorders>
          </w:tcPr>
          <w:p w14:paraId="32891578" w14:textId="77777777" w:rsidR="00540AAF" w:rsidRDefault="00540AAF">
            <w:r>
              <w:t>0.25</w:t>
            </w:r>
          </w:p>
        </w:tc>
        <w:tc>
          <w:tcPr>
            <w:tcW w:w="2214" w:type="dxa"/>
            <w:tcBorders>
              <w:top w:val="single" w:sz="4" w:space="0" w:color="auto"/>
              <w:bottom w:val="nil"/>
            </w:tcBorders>
          </w:tcPr>
          <w:p w14:paraId="50097023" w14:textId="77777777" w:rsidR="00540AAF" w:rsidRDefault="00540AAF">
            <w:r>
              <w:t>0.1</w:t>
            </w:r>
          </w:p>
        </w:tc>
      </w:tr>
      <w:tr w:rsidR="00540AAF" w14:paraId="4947D86D" w14:textId="77777777">
        <w:tc>
          <w:tcPr>
            <w:tcW w:w="2214" w:type="dxa"/>
            <w:tcBorders>
              <w:top w:val="nil"/>
            </w:tcBorders>
          </w:tcPr>
          <w:p w14:paraId="0268BE37" w14:textId="77777777" w:rsidR="00540AAF" w:rsidRDefault="00540AAF">
            <w:pPr>
              <w:rPr>
                <w:vertAlign w:val="subscript"/>
              </w:rPr>
            </w:pPr>
            <w:r>
              <w:t>P</w:t>
            </w:r>
            <w:r>
              <w:rPr>
                <w:vertAlign w:val="subscript"/>
              </w:rPr>
              <w:t>2</w:t>
            </w:r>
          </w:p>
        </w:tc>
        <w:tc>
          <w:tcPr>
            <w:tcW w:w="2214" w:type="dxa"/>
            <w:tcBorders>
              <w:top w:val="nil"/>
            </w:tcBorders>
          </w:tcPr>
          <w:p w14:paraId="0755F2BD" w14:textId="77777777" w:rsidR="00540AAF" w:rsidRDefault="00540AAF">
            <w:r>
              <w:t>0</w:t>
            </w:r>
          </w:p>
        </w:tc>
        <w:tc>
          <w:tcPr>
            <w:tcW w:w="2214" w:type="dxa"/>
            <w:tcBorders>
              <w:top w:val="nil"/>
            </w:tcBorders>
          </w:tcPr>
          <w:p w14:paraId="074DFD54" w14:textId="77777777" w:rsidR="00540AAF" w:rsidRDefault="00540AAF">
            <w:r>
              <w:t>0.35</w:t>
            </w:r>
          </w:p>
        </w:tc>
        <w:tc>
          <w:tcPr>
            <w:tcW w:w="2214" w:type="dxa"/>
            <w:tcBorders>
              <w:top w:val="nil"/>
            </w:tcBorders>
          </w:tcPr>
          <w:p w14:paraId="55FC409E" w14:textId="77777777" w:rsidR="00540AAF" w:rsidRDefault="00540AAF">
            <w:r>
              <w:t>0.5</w:t>
            </w:r>
          </w:p>
        </w:tc>
      </w:tr>
      <w:tr w:rsidR="00540AAF" w14:paraId="789EF95D" w14:textId="77777777">
        <w:tc>
          <w:tcPr>
            <w:tcW w:w="2214" w:type="dxa"/>
          </w:tcPr>
          <w:p w14:paraId="6446972D" w14:textId="77777777" w:rsidR="00540AAF" w:rsidRDefault="00540AAF">
            <w:r>
              <w:t>Poles</w:t>
            </w:r>
          </w:p>
          <w:p w14:paraId="0322816D" w14:textId="77777777" w:rsidR="00540AAF" w:rsidRDefault="00540AAF"/>
        </w:tc>
        <w:tc>
          <w:tcPr>
            <w:tcW w:w="2214" w:type="dxa"/>
          </w:tcPr>
          <w:p w14:paraId="5DCBF189" w14:textId="77777777" w:rsidR="00540AAF" w:rsidRDefault="00540AAF"/>
        </w:tc>
        <w:tc>
          <w:tcPr>
            <w:tcW w:w="2214" w:type="dxa"/>
          </w:tcPr>
          <w:p w14:paraId="73FE04C9" w14:textId="77777777" w:rsidR="00540AAF" w:rsidRDefault="00540AAF"/>
        </w:tc>
        <w:tc>
          <w:tcPr>
            <w:tcW w:w="2214" w:type="dxa"/>
          </w:tcPr>
          <w:p w14:paraId="730A9910" w14:textId="77777777" w:rsidR="00540AAF" w:rsidRDefault="00540AAF"/>
        </w:tc>
      </w:tr>
    </w:tbl>
    <w:p w14:paraId="05D15D0D" w14:textId="77777777" w:rsidR="00540AAF" w:rsidRDefault="00540AAF">
      <w:r>
        <w:t xml:space="preserve"> </w:t>
      </w:r>
    </w:p>
    <w:p w14:paraId="4BEB5D5D" w14:textId="77777777" w:rsidR="00540AAF" w:rsidRDefault="00540AAF">
      <w:pPr>
        <w:pStyle w:val="Heading2"/>
      </w:pPr>
      <w:r>
        <w:t>(C).  Find P</w:t>
      </w:r>
      <w:r>
        <w:rPr>
          <w:vertAlign w:val="subscript"/>
        </w:rPr>
        <w:t>1</w:t>
      </w:r>
      <w:r>
        <w:t xml:space="preserve"> and P</w:t>
      </w:r>
      <w:r>
        <w:rPr>
          <w:vertAlign w:val="subscript"/>
        </w:rPr>
        <w:t>2</w:t>
      </w:r>
      <w:r>
        <w:t xml:space="preserve"> such that:</w:t>
      </w:r>
    </w:p>
    <w:p w14:paraId="1F69A7FB" w14:textId="77777777" w:rsidR="00540AAF" w:rsidRDefault="00540AAF">
      <w:pPr>
        <w:pStyle w:val="Heading2"/>
        <w:numPr>
          <w:ilvl w:val="0"/>
          <w:numId w:val="3"/>
        </w:numPr>
      </w:pPr>
      <w:r>
        <w:t>M</w:t>
      </w:r>
      <w:r>
        <w:rPr>
          <w:vertAlign w:val="subscript"/>
        </w:rPr>
        <w:t>p</w:t>
      </w:r>
      <w:r>
        <w:t xml:space="preserve"> is approx 15% </w:t>
      </w:r>
    </w:p>
    <w:p w14:paraId="335E10F1" w14:textId="383A0F9C" w:rsidR="00540AAF" w:rsidRDefault="00540AAF">
      <w:pPr>
        <w:pStyle w:val="Heading2"/>
        <w:numPr>
          <w:ilvl w:val="0"/>
          <w:numId w:val="3"/>
        </w:numPr>
      </w:pPr>
      <w:r>
        <w:t xml:space="preserve"> t</w:t>
      </w:r>
      <w:r>
        <w:rPr>
          <w:vertAlign w:val="subscript"/>
        </w:rPr>
        <w:t>r</w:t>
      </w:r>
      <w:r>
        <w:t xml:space="preserve"> is approx 0.0</w:t>
      </w:r>
      <w:r w:rsidR="00E73966">
        <w:t>4</w:t>
      </w:r>
      <w:r>
        <w:t xml:space="preserve">0s. </w:t>
      </w:r>
      <w:r>
        <w:tab/>
      </w:r>
      <w:r>
        <w:tab/>
      </w:r>
      <w:r>
        <w:tab/>
      </w:r>
      <w:r>
        <w:tab/>
      </w:r>
      <w:r>
        <w:tab/>
      </w:r>
      <w:r>
        <w:tab/>
        <w:t>__/8</w:t>
      </w:r>
    </w:p>
    <w:p w14:paraId="3ABCAF57" w14:textId="77777777" w:rsidR="00540AAF" w:rsidRDefault="00540AAF">
      <w:pPr>
        <w:pStyle w:val="Header"/>
        <w:tabs>
          <w:tab w:val="clear" w:pos="4320"/>
          <w:tab w:val="clear" w:pos="8640"/>
        </w:tabs>
        <w:rPr>
          <w:i/>
          <w:iCs/>
        </w:rPr>
      </w:pPr>
      <w:r>
        <w:rPr>
          <w:i/>
          <w:iCs/>
        </w:rPr>
        <w:t xml:space="preserve">Hint: </w:t>
      </w:r>
      <w:r w:rsidR="00AD03D5">
        <w:rPr>
          <w:i/>
          <w:iCs/>
        </w:rPr>
        <w:t>F</w:t>
      </w:r>
      <w:r>
        <w:rPr>
          <w:i/>
          <w:iCs/>
        </w:rPr>
        <w:t>ind the required ω</w:t>
      </w:r>
      <w:r>
        <w:rPr>
          <w:i/>
          <w:iCs/>
          <w:vertAlign w:val="subscript"/>
        </w:rPr>
        <w:t>n</w:t>
      </w:r>
      <w:r w:rsidR="00AD03D5">
        <w:rPr>
          <w:i/>
          <w:iCs/>
        </w:rPr>
        <w:t xml:space="preserve"> and ς first. Then, </w:t>
      </w:r>
      <w:r>
        <w:rPr>
          <w:i/>
          <w:iCs/>
        </w:rPr>
        <w:t>since ω</w:t>
      </w:r>
      <w:r>
        <w:rPr>
          <w:i/>
          <w:iCs/>
          <w:vertAlign w:val="subscript"/>
        </w:rPr>
        <w:t>n</w:t>
      </w:r>
      <w:r>
        <w:rPr>
          <w:i/>
          <w:iCs/>
        </w:rPr>
        <w:t xml:space="preserve"> and ς are functions of P</w:t>
      </w:r>
      <w:r>
        <w:rPr>
          <w:i/>
          <w:iCs/>
          <w:vertAlign w:val="subscript"/>
        </w:rPr>
        <w:t>1</w:t>
      </w:r>
      <w:r>
        <w:rPr>
          <w:i/>
          <w:iCs/>
        </w:rPr>
        <w:t xml:space="preserve"> and P</w:t>
      </w:r>
      <w:r>
        <w:rPr>
          <w:i/>
          <w:iCs/>
          <w:vertAlign w:val="subscript"/>
        </w:rPr>
        <w:t>2</w:t>
      </w:r>
      <w:r w:rsidR="00AD03D5">
        <w:rPr>
          <w:i/>
          <w:iCs/>
        </w:rPr>
        <w:t xml:space="preserve">, </w:t>
      </w:r>
      <w:r>
        <w:rPr>
          <w:i/>
          <w:iCs/>
        </w:rPr>
        <w:t>find the required gains.</w:t>
      </w:r>
    </w:p>
    <w:p w14:paraId="739F6283" w14:textId="77777777" w:rsidR="00540AAF" w:rsidRDefault="00540AAF"/>
    <w:p w14:paraId="4493277D" w14:textId="77777777" w:rsidR="00540AAF" w:rsidRDefault="00540AAF">
      <w:pPr>
        <w:pStyle w:val="Heading2"/>
      </w:pPr>
      <w:r>
        <w:br w:type="page"/>
      </w:r>
      <w:r w:rsidR="005722A8">
        <w:lastRenderedPageBreak/>
        <w:t>(D</w:t>
      </w:r>
      <w:r>
        <w:t>).  Show the 2 root locus plots for your P</w:t>
      </w:r>
      <w:r>
        <w:rPr>
          <w:vertAlign w:val="subscript"/>
        </w:rPr>
        <w:t>1</w:t>
      </w:r>
      <w:r>
        <w:t xml:space="preserve"> and P</w:t>
      </w:r>
      <w:r>
        <w:rPr>
          <w:vertAlign w:val="subscript"/>
        </w:rPr>
        <w:t>2</w:t>
      </w:r>
      <w:r>
        <w:t xml:space="preserve"> values. Show that it meets the requirements</w:t>
      </w:r>
      <w:r>
        <w:tab/>
      </w:r>
      <w:r>
        <w:tab/>
      </w:r>
      <w:r>
        <w:tab/>
      </w:r>
      <w:r>
        <w:tab/>
      </w:r>
      <w:r>
        <w:rPr>
          <w:bCs w:val="0"/>
          <w:iCs w:val="0"/>
        </w:rPr>
        <w:t>__/10</w:t>
      </w:r>
    </w:p>
    <w:p w14:paraId="5C5EAF77" w14:textId="77777777" w:rsidR="00540AAF" w:rsidRDefault="00540AAF">
      <w:pPr>
        <w:autoSpaceDE w:val="0"/>
        <w:autoSpaceDN w:val="0"/>
        <w:adjustRightInd w:val="0"/>
      </w:pPr>
      <w:r>
        <w:t xml:space="preserve">Hint:  You may use the command </w:t>
      </w:r>
      <w:r>
        <w:rPr>
          <w:rFonts w:ascii="Courier New" w:hAnsi="Courier New" w:cs="Courier New"/>
          <w:color w:val="000000"/>
          <w:sz w:val="20"/>
          <w:szCs w:val="20"/>
        </w:rPr>
        <w:t>rlocus()</w:t>
      </w:r>
      <w:r>
        <w:t xml:space="preserve">, in </w:t>
      </w:r>
      <w:r>
        <w:rPr>
          <w:smallCaps/>
        </w:rPr>
        <w:t>Matlab</w:t>
      </w:r>
      <w:r>
        <w:t>, which accepts a transfer function.  You will have to rewrite the denominator of your closed-loop transfer function so that the required gain (P</w:t>
      </w:r>
      <w:r>
        <w:softHyphen/>
      </w:r>
      <w:r>
        <w:rPr>
          <w:vertAlign w:val="subscript"/>
        </w:rPr>
        <w:t>1</w:t>
      </w:r>
      <w:r>
        <w:t xml:space="preserve"> or P</w:t>
      </w:r>
      <w:r>
        <w:rPr>
          <w:vertAlign w:val="subscript"/>
        </w:rPr>
        <w:t>2</w:t>
      </w:r>
      <w:r>
        <w:t>) is the K value. We can only vary one at a time, so set the other to the value fou</w:t>
      </w:r>
      <w:r w:rsidR="00EB6DB9">
        <w:t>nd in C</w:t>
      </w:r>
      <w:r>
        <w:t>.  Page 2</w:t>
      </w:r>
      <w:r w:rsidR="00456BF6">
        <w:t>2</w:t>
      </w:r>
      <w:r>
        <w:t xml:space="preserve">3, FPE, </w:t>
      </w:r>
      <w:r w:rsidR="00456BF6">
        <w:t>(or page 233 in the 5</w:t>
      </w:r>
      <w:r w:rsidR="00456BF6" w:rsidRPr="00456BF6">
        <w:rPr>
          <w:vertAlign w:val="superscript"/>
        </w:rPr>
        <w:t>th</w:t>
      </w:r>
      <w:r w:rsidR="00456BF6">
        <w:t xml:space="preserve"> edition) </w:t>
      </w:r>
      <w:r>
        <w:t xml:space="preserve">shows how to rewrite the equation.  Each form (1)-(4) has the same roots, but </w:t>
      </w:r>
      <w:r>
        <w:rPr>
          <w:rFonts w:ascii="Courier New" w:hAnsi="Courier New" w:cs="Courier New"/>
          <w:color w:val="000000"/>
          <w:sz w:val="20"/>
          <w:szCs w:val="20"/>
        </w:rPr>
        <w:t>rlocus()</w:t>
      </w:r>
      <w:r>
        <w:t xml:space="preserve"> expects </w:t>
      </w:r>
      <w:r>
        <w:rPr>
          <w:i/>
          <w:iCs/>
        </w:rPr>
        <w:t>L(s)</w:t>
      </w:r>
      <w:r>
        <w:t xml:space="preserve"> as in (1).</w:t>
      </w:r>
    </w:p>
    <w:p w14:paraId="377E45E4" w14:textId="77777777" w:rsidR="00540AAF" w:rsidRDefault="00540AAF">
      <w:r>
        <w:t xml:space="preserve">  </w:t>
      </w:r>
      <w:r>
        <w:tab/>
      </w:r>
      <w:r>
        <w:rPr>
          <w:position w:val="-82"/>
        </w:rPr>
        <w:object w:dxaOrig="2120" w:dyaOrig="1760" w14:anchorId="79F0A4F3">
          <v:shape id="_x0000_i1027" type="#_x0000_t75" style="width:105.6pt;height:88.2pt" o:ole="">
            <v:imagedata r:id="rId11" o:title=""/>
          </v:shape>
          <o:OLEObject Type="Embed" ProgID="Equation.3" ShapeID="_x0000_i1027" DrawAspect="Content" ObjectID="_1834387130" r:id="rId12"/>
        </w:object>
      </w:r>
    </w:p>
    <w:p w14:paraId="024C179F" w14:textId="77777777" w:rsidR="00540AAF" w:rsidRDefault="00540AAF">
      <w:r>
        <w:t>Attach your root locus plots for P</w:t>
      </w:r>
      <w:r>
        <w:rPr>
          <w:vertAlign w:val="subscript"/>
        </w:rPr>
        <w:t>1</w:t>
      </w:r>
      <w:r>
        <w:t xml:space="preserve"> and P</w:t>
      </w:r>
      <w:r>
        <w:rPr>
          <w:vertAlign w:val="subscript"/>
        </w:rPr>
        <w:t>2</w:t>
      </w:r>
      <w:r>
        <w:t xml:space="preserve">.  If you click on the plot in </w:t>
      </w:r>
      <w:r>
        <w:rPr>
          <w:smallCaps/>
        </w:rPr>
        <w:t>Matlab</w:t>
      </w:r>
      <w:r>
        <w:t>, it will tell y</w:t>
      </w:r>
      <w:r w:rsidR="006455F0">
        <w:t xml:space="preserve">ou the </w:t>
      </w:r>
      <w:r>
        <w:t>K value</w:t>
      </w:r>
      <w:r w:rsidR="006455F0">
        <w:t>, as well as the damping (ζ) and frequency (ω</w:t>
      </w:r>
      <w:r w:rsidR="006455F0" w:rsidRPr="006455F0">
        <w:rPr>
          <w:vertAlign w:val="subscript"/>
        </w:rPr>
        <w:t>n</w:t>
      </w:r>
      <w:r w:rsidR="006455F0">
        <w:t>)</w:t>
      </w:r>
      <w:r>
        <w:t xml:space="preserve">. </w:t>
      </w:r>
      <w:r w:rsidR="006455F0">
        <w:t>Find the spot on the curve that gives the ζ and ω</w:t>
      </w:r>
      <w:r w:rsidR="006455F0" w:rsidRPr="006455F0">
        <w:rPr>
          <w:vertAlign w:val="subscript"/>
        </w:rPr>
        <w:t>n</w:t>
      </w:r>
      <w:r w:rsidR="006455F0">
        <w:rPr>
          <w:vertAlign w:val="subscript"/>
        </w:rPr>
        <w:t xml:space="preserve"> </w:t>
      </w:r>
      <w:r w:rsidR="006455F0">
        <w:t>you calculated from part C. Compare the K value you get</w:t>
      </w:r>
      <w:r>
        <w:t xml:space="preserve"> to part C.</w:t>
      </w:r>
    </w:p>
    <w:p w14:paraId="3C32CF6E" w14:textId="77777777" w:rsidR="00540AAF" w:rsidRDefault="00540AAF"/>
    <w:p w14:paraId="044C904D" w14:textId="77777777" w:rsidR="00540AAF" w:rsidRDefault="005722A8">
      <w:pPr>
        <w:pStyle w:val="Heading2"/>
      </w:pPr>
      <w:r>
        <w:t xml:space="preserve"> (E</w:t>
      </w:r>
      <w:r w:rsidR="00540AAF">
        <w:t xml:space="preserve">). Draw a patch-panel wiring diagram </w:t>
      </w:r>
      <w:r w:rsidR="00540AAF">
        <w:tab/>
      </w:r>
      <w:r w:rsidR="00540AAF">
        <w:tab/>
      </w:r>
      <w:r w:rsidR="00540AAF">
        <w:tab/>
      </w:r>
      <w:r w:rsidR="00540AAF">
        <w:rPr>
          <w:bCs w:val="0"/>
          <w:iCs w:val="0"/>
        </w:rPr>
        <w:t>__/8</w:t>
      </w:r>
    </w:p>
    <w:p w14:paraId="08487C38" w14:textId="77777777" w:rsidR="00540AAF" w:rsidRDefault="00540AAF">
      <w:r>
        <w:t>Remember to tie the output of each unused op-amp back into one of its input resistors.  This will cause negative feedback and thereby reduce any random noise in the analog computer. (This is less necessary when the circuit has no integrators)</w:t>
      </w:r>
    </w:p>
    <w:p w14:paraId="5FD22431" w14:textId="77777777" w:rsidR="00540AAF" w:rsidRDefault="00540AAF">
      <w:r>
        <w:t>You may use this jpg image for your wiring diagram.  (I used paint to draw in the wires)</w:t>
      </w:r>
    </w:p>
    <w:p w14:paraId="1BC36051" w14:textId="77777777" w:rsidR="00540AAF" w:rsidRDefault="00540AAF">
      <w:r>
        <w:t xml:space="preserve">There is also a </w:t>
      </w:r>
      <w:r>
        <w:rPr>
          <w:i/>
          <w:iCs/>
        </w:rPr>
        <w:t>Microsoft Visio</w:t>
      </w:r>
      <w:r>
        <w:t xml:space="preserve"> template on the lab website.</w:t>
      </w:r>
    </w:p>
    <w:p w14:paraId="3152C836" w14:textId="77777777" w:rsidR="00540AAF" w:rsidRDefault="00DA21AF">
      <w:pPr>
        <w:pStyle w:val="Heading1"/>
      </w:pPr>
      <w:r>
        <w:rPr>
          <w:noProof/>
          <w:lang w:eastAsia="zh-CN"/>
        </w:rPr>
        <w:drawing>
          <wp:inline distT="0" distB="0" distL="0" distR="0" wp14:anchorId="1FF4E887" wp14:editId="11894C67">
            <wp:extent cx="5486400" cy="3016250"/>
            <wp:effectExtent l="0" t="0" r="0" b="0"/>
            <wp:docPr id="4" name="Picture 4" descr="blank_analog_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_analog_compu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016250"/>
                    </a:xfrm>
                    <a:prstGeom prst="rect">
                      <a:avLst/>
                    </a:prstGeom>
                    <a:noFill/>
                    <a:ln>
                      <a:noFill/>
                    </a:ln>
                  </pic:spPr>
                </pic:pic>
              </a:graphicData>
            </a:graphic>
          </wp:inline>
        </w:drawing>
      </w:r>
    </w:p>
    <w:sectPr w:rsidR="00540AAF">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4F34" w14:textId="77777777" w:rsidR="002E343B" w:rsidRDefault="002E343B">
      <w:r>
        <w:separator/>
      </w:r>
    </w:p>
  </w:endnote>
  <w:endnote w:type="continuationSeparator" w:id="0">
    <w:p w14:paraId="4B794E65" w14:textId="77777777" w:rsidR="002E343B" w:rsidRDefault="002E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C824" w14:textId="77777777" w:rsidR="002E343B" w:rsidRDefault="002E343B">
      <w:r>
        <w:separator/>
      </w:r>
    </w:p>
  </w:footnote>
  <w:footnote w:type="continuationSeparator" w:id="0">
    <w:p w14:paraId="11D8A99D" w14:textId="77777777" w:rsidR="002E343B" w:rsidRDefault="002E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6C2E" w14:textId="77777777" w:rsidR="00540AAF" w:rsidRDefault="00540AAF">
    <w:pPr>
      <w:pStyle w:val="Header"/>
    </w:pPr>
    <w:r>
      <w:t>PreLab 5</w:t>
    </w:r>
    <w:r>
      <w:tab/>
    </w:r>
    <w:r>
      <w:rPr>
        <w:smallCaps/>
      </w:rPr>
      <w:t>PD Control Using Analog Computer &amp; WinCon</w:t>
    </w:r>
    <w:r>
      <w:tab/>
    </w:r>
    <w:r>
      <w:rPr>
        <w:rStyle w:val="PageNumber"/>
      </w:rPr>
      <w:fldChar w:fldCharType="begin"/>
    </w:r>
    <w:r>
      <w:rPr>
        <w:rStyle w:val="PageNumber"/>
      </w:rPr>
      <w:instrText xml:space="preserve"> PAGE </w:instrText>
    </w:r>
    <w:r>
      <w:rPr>
        <w:rStyle w:val="PageNumber"/>
      </w:rPr>
      <w:fldChar w:fldCharType="separate"/>
    </w:r>
    <w:r w:rsidR="00DA21A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21A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8421A5"/>
    <w:multiLevelType w:val="hybridMultilevel"/>
    <w:tmpl w:val="BE8A5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352B7"/>
    <w:multiLevelType w:val="hybridMultilevel"/>
    <w:tmpl w:val="0AA6FA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010205458">
    <w:abstractNumId w:val="0"/>
  </w:num>
  <w:num w:numId="2" w16cid:durableId="1848252510">
    <w:abstractNumId w:val="1"/>
  </w:num>
  <w:num w:numId="3" w16cid:durableId="174830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2A8"/>
    <w:rsid w:val="002337CE"/>
    <w:rsid w:val="002E343B"/>
    <w:rsid w:val="00456BF6"/>
    <w:rsid w:val="004A2641"/>
    <w:rsid w:val="00540AAF"/>
    <w:rsid w:val="005722A8"/>
    <w:rsid w:val="005D3CC8"/>
    <w:rsid w:val="006455F0"/>
    <w:rsid w:val="00A57A4C"/>
    <w:rsid w:val="00AD03D5"/>
    <w:rsid w:val="00C762B1"/>
    <w:rsid w:val="00DA21AF"/>
    <w:rsid w:val="00E73966"/>
    <w:rsid w:val="00EB6DB9"/>
    <w:rsid w:val="00FD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4C79"/>
  <w15:docId w15:val="{CFD20D03-4B61-449B-831E-82D6F262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Bullock, John Lovell</cp:lastModifiedBy>
  <cp:revision>3</cp:revision>
  <dcterms:created xsi:type="dcterms:W3CDTF">2012-01-27T20:18:00Z</dcterms:created>
  <dcterms:modified xsi:type="dcterms:W3CDTF">2026-03-07T17:12:00Z</dcterms:modified>
</cp:coreProperties>
</file>